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Heading5"/>
        <w:spacing w:lineRule="auto" w:line="276" w:before="360" w:after="120"/>
        <w:rPr>
          <w:sz w:val="28"/>
          <w:szCs w:val="28"/>
        </w:rPr>
      </w:pPr>
      <w:r>
        <w:rPr>
          <w:sz w:val="28"/>
          <w:szCs w:val="28"/>
        </w:rPr>
        <w:t>XIZMATLAR RO'YXATI VA TARXALARI</w:t>
      </w:r>
    </w:p>
    <w:p>
      <w:pPr>
        <w:pStyle w:val="Normal"/>
        <w:rPr>
          <w:sz w:val="28"/>
          <w:szCs w:val="28"/>
        </w:rPr>
      </w:pPr>
      <w:r>
        <w:rPr>
          <w:sz w:val="28"/>
          <w:szCs w:val="28"/>
        </w:rPr>
      </w:r>
    </w:p>
    <w:p>
      <w:pPr>
        <w:pStyle w:val="Normal"/>
        <w:spacing w:lineRule="auto" w:line="276" w:before="120" w:after="0"/>
        <w:jc w:val="both"/>
        <w:rPr>
          <w:b/>
          <w:b/>
          <w:bCs/>
        </w:rPr>
      </w:pPr>
      <w:r>
        <w:rPr>
          <w:b/>
          <w:bCs/>
        </w:rPr>
        <w:t>1. “Yuqori tezlikda Internetga ulanish” xizmati uchun provayderning tariflari</w:t>
      </w:r>
    </w:p>
    <w:p>
      <w:pPr>
        <w:pStyle w:val="Normal"/>
        <w:spacing w:lineRule="auto" w:line="276" w:before="120" w:after="0"/>
        <w:jc w:val="both"/>
        <w:rPr>
          <w:b/>
          <w:b/>
          <w:bCs/>
        </w:rPr>
      </w:pPr>
      <w:r>
        <w:rPr>
          <w:b/>
          <w:bCs/>
        </w:rPr>
      </w:r>
    </w:p>
    <w:tbl>
      <w:tblPr>
        <w:tblW w:w="11079" w:type="dxa"/>
        <w:jc w:val="center"/>
        <w:tblInd w:w="0" w:type="dxa"/>
        <w:tblLayout w:type="fixed"/>
        <w:tblCellMar>
          <w:top w:w="0" w:type="dxa"/>
          <w:start w:w="108" w:type="dxa"/>
          <w:bottom w:w="0" w:type="dxa"/>
          <w:end w:w="108" w:type="dxa"/>
        </w:tblCellMar>
      </w:tblPr>
      <w:tblGrid>
        <w:gridCol w:w="1720"/>
        <w:gridCol w:w="1134"/>
        <w:gridCol w:w="1134"/>
        <w:gridCol w:w="1701"/>
        <w:gridCol w:w="1843"/>
        <w:gridCol w:w="1842"/>
        <w:gridCol w:w="1705"/>
      </w:tblGrid>
      <w:tr>
        <w:trPr>
          <w:trHeight w:val="517" w:hRule="atLeast"/>
        </w:trPr>
        <w:tc>
          <w:tcPr>
            <w:tcW w:w="11079" w:type="dxa"/>
            <w:gridSpan w:val="7"/>
            <w:tcBorders>
              <w:top w:val="single" w:sz="4" w:space="0" w:color="000000"/>
              <w:start w:val="single" w:sz="4" w:space="0" w:color="000000"/>
              <w:bottom w:val="single" w:sz="4" w:space="0" w:color="000000"/>
              <w:end w:val="single" w:sz="4" w:space="0" w:color="000000"/>
            </w:tcBorders>
            <w:shd w:fill="D9D9D9" w:val="clear"/>
            <w:vAlign w:val="center"/>
          </w:tcPr>
          <w:p>
            <w:pPr>
              <w:pStyle w:val="Normal"/>
              <w:spacing w:lineRule="auto" w:line="276"/>
              <w:ind w:start="-567" w:firstLine="567"/>
              <w:jc w:val="center"/>
              <w:rPr>
                <w:b/>
                <w:b/>
              </w:rPr>
            </w:pPr>
            <w:r>
              <w:rPr>
                <w:b/>
              </w:rPr>
              <w:t>Cheksiz Internetga ulanish va TAS-IX tarif rejalari guruhi</w:t>
            </w:r>
          </w:p>
        </w:tc>
      </w:tr>
      <w:tr>
        <w:trPr>
          <w:trHeight w:val="603" w:hRule="atLeast"/>
        </w:trPr>
        <w:tc>
          <w:tcPr>
            <w:tcW w:w="1720" w:type="dxa"/>
            <w:vMerge w:val="restart"/>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Ism</w:t>
            </w:r>
          </w:p>
        </w:tc>
        <w:tc>
          <w:tcPr>
            <w:tcW w:w="2268" w:type="dxa"/>
            <w:gridSpan w:val="2"/>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pPr>
            <w:r>
              <w:rPr>
                <w:b/>
                <w:sz w:val="20"/>
                <w:szCs w:val="20"/>
              </w:rPr>
              <w:t>Kirish tezligi, Mbit/sek</w:t>
            </w:r>
          </w:p>
        </w:tc>
        <w:tc>
          <w:tcPr>
            <w:tcW w:w="1701" w:type="dxa"/>
            <w:vMerge w:val="restart"/>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Oylik abonent to‘lovi, so‘m</w:t>
              <w:br/>
            </w:r>
          </w:p>
        </w:tc>
        <w:tc>
          <w:tcPr>
            <w:tcW w:w="1843" w:type="dxa"/>
            <w:vMerge w:val="restart"/>
            <w:tcBorders>
              <w:top w:val="single" w:sz="4" w:space="0" w:color="000000"/>
              <w:end w:val="single" w:sz="4" w:space="0" w:color="000000"/>
            </w:tcBorders>
            <w:shd w:fill="D9D9D9" w:val="clear"/>
            <w:vAlign w:val="center"/>
          </w:tcPr>
          <w:p>
            <w:pPr>
              <w:pStyle w:val="Normal"/>
              <w:spacing w:lineRule="auto" w:line="276"/>
              <w:ind w:hanging="108"/>
              <w:jc w:val="center"/>
              <w:rPr>
                <w:b/>
                <w:b/>
                <w:sz w:val="20"/>
                <w:szCs w:val="20"/>
              </w:rPr>
            </w:pPr>
            <w:r>
              <w:rPr>
                <w:b/>
                <w:sz w:val="20"/>
                <w:szCs w:val="20"/>
              </w:rPr>
              <w:t>Oyiga internet-trafik chegarasi, MB</w:t>
            </w:r>
          </w:p>
        </w:tc>
        <w:tc>
          <w:tcPr>
            <w:tcW w:w="1842" w:type="dxa"/>
            <w:vMerge w:val="restart"/>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p>
            <w:pPr>
              <w:pStyle w:val="Normal"/>
              <w:spacing w:lineRule="auto" w:line="276"/>
              <w:jc w:val="center"/>
              <w:rPr/>
            </w:pPr>
            <w:r>
              <w:rPr>
                <w:b/>
                <w:sz w:val="20"/>
                <w:szCs w:val="20"/>
              </w:rPr>
              <w:t xml:space="preserve">Oyiga TAS-IX trafik limiti, MB</w:t>
            </w:r>
          </w:p>
          <w:p>
            <w:pPr>
              <w:pStyle w:val="Normal"/>
              <w:spacing w:lineRule="auto" w:line="276"/>
              <w:jc w:val="center"/>
              <w:rPr>
                <w:b/>
                <w:b/>
                <w:sz w:val="20"/>
                <w:szCs w:val="20"/>
              </w:rPr>
            </w:pPr>
            <w:r>
              <w:rPr>
                <w:b/>
                <w:sz w:val="20"/>
                <w:szCs w:val="20"/>
              </w:rPr>
            </w:r>
          </w:p>
        </w:tc>
        <w:tc>
          <w:tcPr>
            <w:tcW w:w="1705" w:type="dxa"/>
            <w:vMerge w:val="restart"/>
            <w:tcBorders>
              <w:top w:val="single" w:sz="4" w:space="0" w:color="000000"/>
              <w:end w:val="single" w:sz="4" w:space="0" w:color="000000"/>
            </w:tcBorders>
            <w:shd w:fill="D9D9D9" w:val="clear"/>
            <w:vAlign w:val="center"/>
          </w:tcPr>
          <w:p>
            <w:pPr>
              <w:pStyle w:val="Normal"/>
              <w:spacing w:lineRule="auto" w:line="276"/>
              <w:jc w:val="center"/>
              <w:rPr>
                <w:sz w:val="20"/>
                <w:szCs w:val="20"/>
              </w:rPr>
            </w:pPr>
            <w:r>
              <w:rPr>
                <w:b/>
                <w:sz w:val="20"/>
                <w:szCs w:val="20"/>
              </w:rPr>
              <w:t>Tarmoq ichidagi tezlik, Mbit/s</w:t>
            </w:r>
          </w:p>
        </w:tc>
      </w:tr>
      <w:tr>
        <w:trPr>
          <w:trHeight w:val="344" w:hRule="atLeast"/>
        </w:trPr>
        <w:tc>
          <w:tcPr>
            <w:tcW w:w="1720" w:type="dxa"/>
            <w:vMerge w:val="continue"/>
            <w:tcBorders>
              <w:start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134"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Internet</w:t>
            </w:r>
          </w:p>
        </w:tc>
        <w:tc>
          <w:tcPr>
            <w:tcW w:w="1134"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TAS-IX</w:t>
            </w:r>
          </w:p>
        </w:tc>
        <w:tc>
          <w:tcPr>
            <w:tcW w:w="1701" w:type="dxa"/>
            <w:vMerge w:val="continue"/>
            <w:tcBorders>
              <w:start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843"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842"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705"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sz w:val="20"/>
                <w:szCs w:val="20"/>
              </w:rPr>
            </w:pPr>
            <w:r>
              <w:rPr>
                <w:sz w:val="20"/>
                <w:szCs w:val="20"/>
              </w:rPr>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iqtisodiyoti-10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90.000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iqtisodiyoti-20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lang w:val="en-US"/>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105.000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lang w:val="en-US"/>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iqtisodiyoti-30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30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lang w:val="en-US"/>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lang w:val="en-US"/>
              </w:rPr>
              <w:t>115.000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lang w:val="en-US"/>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Premium-40+TV 200*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40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lang w:val="en-US"/>
              </w:rPr>
              <w:t>130.000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r>
        <w:trPr>
          <w:trHeight w:val="379" w:hRule="atLeast"/>
        </w:trPr>
        <w:tc>
          <w:tcPr>
            <w:tcW w:w="17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Premium-100+TV 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pPr>
            <w:r>
              <w:rPr>
                <w:b/>
                <w:sz w:val="20"/>
                <w:szCs w:val="20"/>
                <w:lang w:val="en-US"/>
              </w:rPr>
              <w:t>170.000</w:t>
            </w:r>
          </w:p>
        </w:tc>
        <w:tc>
          <w:tcPr>
            <w:tcW w:w="1843"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r>
        <w:trPr>
          <w:trHeight w:val="379" w:hRule="atLeast"/>
        </w:trPr>
        <w:tc>
          <w:tcPr>
            <w:tcW w:w="17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Premium-200+TV 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rPr>
              <w:t>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pPr>
            <w:r>
              <w:rPr>
                <w:b/>
                <w:sz w:val="20"/>
                <w:szCs w:val="20"/>
              </w:rPr>
              <w:t>250.000</w:t>
            </w:r>
          </w:p>
        </w:tc>
        <w:tc>
          <w:tcPr>
            <w:tcW w:w="1843"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Cheksiz</w:t>
            </w:r>
          </w:p>
        </w:tc>
        <w:tc>
          <w:tcPr>
            <w:tcW w:w="170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bl>
    <w:p>
      <w:pPr>
        <w:pStyle w:val="Normal"/>
        <w:spacing w:lineRule="auto" w:line="276" w:before="120" w:after="0"/>
        <w:rPr>
          <w:sz w:val="20"/>
          <w:szCs w:val="20"/>
        </w:rPr>
      </w:pPr>
      <w:r>
        <w:rPr>
          <w:sz w:val="20"/>
          <w:szCs w:val="20"/>
        </w:rPr>
        <w:t>*Internetga kirish faqat ijobiy depozit bilan taqdim etiladi. Agar muddatlarning birida trafik chegarasi oshib ketgan bo'lsa va qarz paydo bo'lsa, Internetga kirish bloklanadi.</w:t>
      </w:r>
    </w:p>
    <w:p>
      <w:pPr>
        <w:pStyle w:val="Normal"/>
        <w:spacing w:lineRule="auto" w:line="276" w:before="120" w:after="0"/>
        <w:rPr>
          <w:sz w:val="20"/>
          <w:szCs w:val="20"/>
        </w:rPr>
      </w:pPr>
      <w:r>
        <w:rPr>
          <w:sz w:val="20"/>
          <w:szCs w:val="20"/>
        </w:rPr>
      </w:r>
    </w:p>
    <w:p>
      <w:pPr>
        <w:pStyle w:val="Normal"/>
        <w:spacing w:lineRule="auto" w:line="276"/>
        <w:rPr/>
      </w:pPr>
      <w:r>
        <w:rPr>
          <w:sz w:val="20"/>
          <w:szCs w:val="20"/>
        </w:rPr>
        <w:t>Joriy oy uchun foydalanilmagan trafik keyingi oyga o'tkazilmaydi.</w:t>
      </w:r>
    </w:p>
    <w:p>
      <w:pPr>
        <w:pStyle w:val="Normal"/>
        <w:spacing w:lineRule="auto" w:line="276"/>
        <w:jc w:val="both"/>
        <w:rPr>
          <w:b/>
          <w:b/>
          <w:sz w:val="20"/>
          <w:szCs w:val="20"/>
        </w:rPr>
      </w:pPr>
      <w:r>
        <w:rPr>
          <w:b/>
          <w:sz w:val="20"/>
          <w:szCs w:val="20"/>
        </w:rPr>
      </w:r>
    </w:p>
    <w:p>
      <w:pPr>
        <w:pStyle w:val="Style17"/>
        <w:spacing w:lineRule="auto" w:line="276"/>
        <w:jc w:val="both"/>
        <w:rPr/>
      </w:pPr>
      <w:r>
        <w:rPr>
          <w:b w:val="false"/>
          <w:bCs w:val="false"/>
          <w:sz w:val="20"/>
          <w:szCs w:val="20"/>
        </w:rPr>
        <w:t xml:space="preserve">• Barcha narxlar barcha soliq va yig'imlarni hisobga olgan holda so'mda ko'rsatilgan.</w:t>
      </w:r>
    </w:p>
    <w:p>
      <w:pPr>
        <w:pStyle w:val="Style17"/>
        <w:spacing w:lineRule="auto" w:line="276"/>
        <w:jc w:val="both"/>
        <w:rPr/>
      </w:pPr>
      <w:r>
        <w:rPr>
          <w:b w:val="false"/>
          <w:bCs w:val="false"/>
          <w:sz w:val="20"/>
          <w:szCs w:val="20"/>
        </w:rPr>
        <w:t xml:space="preserve">• Tariflar faqat jismoniy shaxslar uchun turar-joy binolarini tarmoqqa ulashda amal qiladi.</w:t>
      </w:r>
    </w:p>
    <w:p>
      <w:pPr>
        <w:pStyle w:val="Style17"/>
        <w:spacing w:lineRule="auto" w:line="276"/>
        <w:jc w:val="both"/>
        <w:rPr/>
      </w:pPr>
      <w:r>
        <w:rPr>
          <w:b w:val="false"/>
          <w:bCs w:val="false"/>
          <w:sz w:val="20"/>
          <w:szCs w:val="20"/>
        </w:rPr>
        <w:t xml:space="preserve">• Internet-trafikni hisoblashda Abonentga kiruvchi trafik hisobga olinadi; chiquvchi trafik faqat davr uchun kiruvchi trafik miqdorida bepul. Belgilangan limitdan oshib ketgan chiquvchi trafik hajmi (davrdagi kiruvchi trafik hajmi) ortiqcha limit sifatida undiriladi.</w:t>
      </w:r>
    </w:p>
    <w:p>
      <w:pPr>
        <w:pStyle w:val="Style17"/>
        <w:spacing w:lineRule="auto" w:line="276"/>
        <w:jc w:val="both"/>
        <w:rPr/>
      </w:pPr>
      <w:r>
        <w:rPr>
          <w:b w:val="false"/>
          <w:bCs w:val="false"/>
          <w:sz w:val="20"/>
          <w:szCs w:val="20"/>
        </w:rPr>
        <w:t xml:space="preserve">•</w:t>
      </w:r>
      <w:r>
        <w:rPr>
          <w:b w:val="false"/>
          <w:sz w:val="20"/>
          <w:szCs w:val="20"/>
        </w:rPr>
        <w:t xml:space="preserve">Abonent to‘loviga kiritilgan trafik hajmi hisob-kitob davri davomida ishlatilishi kerak. Abonent to‘loviga kiritilgan va hisob-kitob davrida foydalanilmagan internet-trafik,</w:t>
        <w:br/>
      </w:r>
      <w:r>
        <w:rPr>
          <w:sz w:val="20"/>
          <w:szCs w:val="20"/>
        </w:rPr>
        <w:t xml:space="preserve">keyingi hisob-kitob davriga o'tmaydi.</w:t>
      </w:r>
    </w:p>
    <w:p>
      <w:pPr>
        <w:pStyle w:val="Normal"/>
        <w:spacing w:lineRule="auto" w:line="276"/>
        <w:jc w:val="both"/>
        <w:rPr/>
      </w:pPr>
      <w:r>
        <w:rPr>
          <w:sz w:val="20"/>
          <w:szCs w:val="20"/>
        </w:rPr>
        <w:t>• Internetga kirish tezligi Abonentning amaldagi tarif rejasiga muvofiq Provayder uskunasida dasturlashtirilgan aloqa kanalining o‘tkazish qobiliyatini bildiradi; Internetga kirishning haqiqiy tezligi nafaqat xizmatning texnik xususiyatlariga, balki yo'nalish va joriy kanal yukiga, uchinchi aloqa operatorlari, Provayder hududidan tashqarida Internet segmentlarini boshqaruvchi tashkilotlar va jismoniy shaxslarning harakatlariga bog'liq. mas'uliyat.</w:t>
      </w:r>
    </w:p>
    <w:p>
      <w:pPr>
        <w:pStyle w:val="Normal"/>
        <w:spacing w:lineRule="auto" w:line="276"/>
        <w:rPr/>
      </w:pPr>
      <w:r>
        <w:rPr>
          <w:sz w:val="20"/>
          <w:szCs w:val="20"/>
        </w:rPr>
        <w:t>• Trafik tafsilotlari berilmagan.</w:t>
      </w:r>
    </w:p>
    <w:p>
      <w:pPr>
        <w:pStyle w:val="Style17"/>
        <w:spacing w:lineRule="auto" w:line="276"/>
        <w:jc w:val="both"/>
        <w:rPr>
          <w:b w:val="false"/>
          <w:b w:val="false"/>
          <w:bCs w:val="false"/>
          <w:sz w:val="20"/>
          <w:szCs w:val="20"/>
        </w:rPr>
      </w:pPr>
      <w:r>
        <w:rPr>
          <w:sz w:val="20"/>
          <w:szCs w:val="20"/>
        </w:rPr>
        <w:t>• Hisob-kitoblar uchun quyidagilar qabul qilinadi: 1 KB = 1024 bayt, 1 MB = 1024 KB.</w:t>
      </w:r>
    </w:p>
    <w:p>
      <w:pPr>
        <w:pStyle w:val="Style17"/>
        <w:spacing w:lineRule="auto" w:line="276"/>
        <w:jc w:val="both"/>
        <w:rPr>
          <w:b w:val="false"/>
          <w:b w:val="false"/>
          <w:bCs w:val="false"/>
          <w:sz w:val="20"/>
          <w:szCs w:val="20"/>
        </w:rPr>
      </w:pPr>
      <w:r>
        <w:rPr>
          <w:b w:val="false"/>
          <w:bCs w:val="false"/>
          <w:sz w:val="20"/>
          <w:szCs w:val="20"/>
        </w:rPr>
        <w:t xml:space="preserve">• Stark telekom tarmog'ining barcha resurslariga trafik (1-ilovadagi ro'yxat) olinmaydi.</w:t>
      </w:r>
    </w:p>
    <w:p>
      <w:pPr>
        <w:pStyle w:val="Style17"/>
        <w:spacing w:lineRule="auto" w:line="276"/>
        <w:jc w:val="both"/>
        <w:rPr/>
      </w:pPr>
      <w:r>
        <w:rPr>
          <w:b w:val="false"/>
          <w:bCs w:val="false"/>
          <w:sz w:val="20"/>
          <w:szCs w:val="20"/>
        </w:rPr>
        <w:t xml:space="preserve">• Barcha tarif rejalari uchun Abonentga Provayder tarmog‘ining boshqa abonentlari bilan trafik almashish imkoniyati beriladi. Abonentning iltimosiga ko'ra, abonentlar o'rtasidagi trafik marshruti o'chirilishi mumkin.</w:t>
      </w:r>
    </w:p>
    <w:p>
      <w:pPr>
        <w:pStyle w:val="Normal"/>
        <w:spacing w:lineRule="auto" w:line="276"/>
        <w:rPr>
          <w:b/>
          <w:b/>
          <w:bCs/>
          <w:sz w:val="20"/>
          <w:szCs w:val="20"/>
        </w:rPr>
      </w:pPr>
      <w:r>
        <w:rPr>
          <w:b/>
          <w:bCs/>
          <w:sz w:val="20"/>
          <w:szCs w:val="20"/>
        </w:rPr>
      </w:r>
    </w:p>
    <w:p>
      <w:pPr>
        <w:pStyle w:val="Normal"/>
        <w:spacing w:lineRule="auto" w:line="276"/>
        <w:rPr/>
      </w:pPr>
      <w:r>
        <w:rPr>
          <w:b/>
        </w:rPr>
        <w:t>2. Qo'shimcha xizmatlar uchun provayderning tariflari</w:t>
      </w:r>
    </w:p>
    <w:p>
      <w:pPr>
        <w:pStyle w:val="Normal"/>
        <w:spacing w:lineRule="auto" w:line="276"/>
        <w:rPr>
          <w:b/>
          <w:b/>
        </w:rPr>
      </w:pPr>
      <w:r>
        <w:rPr>
          <w:b/>
        </w:rPr>
      </w:r>
    </w:p>
    <w:p>
      <w:pPr>
        <w:pStyle w:val="Normal"/>
        <w:spacing w:lineRule="auto" w:line="276"/>
        <w:rPr/>
      </w:pPr>
      <w:r>
        <w:rPr>
          <w:b/>
        </w:rPr>
        <w:t xml:space="preserve">2.1.</w:t>
      </w:r>
      <w:r>
        <w:rPr>
          <w:rStyle w:val="StrongEmphasis"/>
        </w:rPr>
        <w:t>Tarif rejasini o'zgartirish</w:t>
      </w:r>
    </w:p>
    <w:p>
      <w:pPr>
        <w:pStyle w:val="Normal"/>
        <w:spacing w:lineRule="auto" w:line="276"/>
        <w:rPr/>
      </w:pPr>
      <w:r>
        <w:rPr>
          <w:rStyle w:val="StrongEmphasis"/>
          <w:b w:val="false"/>
          <w:sz w:val="20"/>
          <w:szCs w:val="20"/>
        </w:rPr>
        <w:t xml:space="preserve">Tarif rejasini abonent to‘lovi teng yoki undan yuqori bo‘lgan tarifga o‘zgartirish –</w:t>
      </w:r>
      <w:r>
        <w:rPr>
          <w:rStyle w:val="StrongEmphasis"/>
          <w:sz w:val="20"/>
          <w:szCs w:val="20"/>
        </w:rPr>
        <w:t>bepul.</w:t>
      </w:r>
    </w:p>
    <w:p>
      <w:pPr>
        <w:pStyle w:val="Normal"/>
        <w:spacing w:lineRule="auto" w:line="276"/>
        <w:jc w:val="both"/>
        <w:rPr>
          <w:rStyle w:val="StrongEmphasis"/>
          <w:sz w:val="20"/>
          <w:szCs w:val="20"/>
        </w:rPr>
      </w:pPr>
      <w:r>
        <w:rPr>
          <w:rStyle w:val="StrongEmphasis"/>
          <w:b w:val="false"/>
          <w:sz w:val="20"/>
          <w:szCs w:val="20"/>
        </w:rPr>
        <w:t xml:space="preserve">O'zgartirish keyingi hisob-kitob davridan boshlab, Abonentning tarif rejasini o'zgartirish haqidagi iltimosiga binoan amalga oshiriladi. Abonent arizani yozma ravishda Provayderning ofisiga yuboradi yoki o'zgartirish shaxsiy kabinetning "Tarif rejasi" bo'limida mustaqil ravishda amalga oshiriladi. Bunday holda, bir tarifdan boshqasiga o'tish, agar Abonentning Shaxsiy kabinetida bo'lsa, amalga oshirilishi mumkin.</w:t>
      </w:r>
      <w:r>
        <w:rPr>
          <w:sz w:val="20"/>
          <w:szCs w:val="20"/>
        </w:rPr>
        <w:t xml:space="preserve">o'tish amalga oshirilayotgan tarifning kamida bitta abonent to'lovi miqdori mavjud.</w:t>
      </w:r>
    </w:p>
    <w:p>
      <w:pPr>
        <w:pStyle w:val="Normal"/>
        <w:spacing w:lineRule="auto" w:line="276"/>
        <w:rPr>
          <w:rStyle w:val="StrongEmphasis"/>
          <w:b w:val="false"/>
          <w:b w:val="false"/>
          <w:sz w:val="20"/>
          <w:szCs w:val="20"/>
        </w:rPr>
      </w:pPr>
      <w:r>
        <w:rPr/>
      </w:r>
    </w:p>
    <w:p>
      <w:pPr>
        <w:pStyle w:val="Normal"/>
        <w:spacing w:lineRule="auto" w:line="276"/>
        <w:rPr/>
      </w:pPr>
      <w:r>
        <w:rPr>
          <w:rStyle w:val="StrongEmphasis"/>
          <w:b w:val="false"/>
          <w:sz w:val="20"/>
          <w:szCs w:val="20"/>
        </w:rPr>
        <w:t xml:space="preserve">Tarif rejasini abonent toʻlovi pastroq tarifga oʻzgartirish –</w:t>
      </w:r>
      <w:r>
        <w:rPr>
          <w:rStyle w:val="StrongEmphasis"/>
          <w:sz w:val="20"/>
          <w:szCs w:val="20"/>
        </w:rPr>
        <w:t>bepul.</w:t>
      </w:r>
    </w:p>
    <w:p>
      <w:pPr>
        <w:pStyle w:val="Normal"/>
        <w:spacing w:lineRule="auto" w:line="276"/>
        <w:jc w:val="both"/>
        <w:rPr/>
      </w:pPr>
      <w:r>
        <w:rPr>
          <w:rStyle w:val="StrongEmphasis"/>
          <w:b w:val="false"/>
          <w:sz w:val="20"/>
          <w:szCs w:val="20"/>
        </w:rPr>
        <w:t>O'zgartirish keyingi hisob-kitob davridan boshlab amalga oshiriladi.</w:t>
      </w:r>
    </w:p>
    <w:p>
      <w:pPr>
        <w:pStyle w:val="Normal"/>
        <w:spacing w:lineRule="auto" w:line="276"/>
        <w:rPr>
          <w:rStyle w:val="StrongEmphasis"/>
          <w:b w:val="false"/>
          <w:b w:val="false"/>
          <w:sz w:val="20"/>
          <w:szCs w:val="20"/>
        </w:rPr>
      </w:pPr>
      <w:r>
        <w:rPr/>
      </w:r>
    </w:p>
    <w:p>
      <w:pPr>
        <w:pStyle w:val="Normal"/>
        <w:spacing w:lineRule="auto" w:line="276"/>
        <w:jc w:val="both"/>
        <w:rPr/>
      </w:pPr>
      <w:r>
        <w:rPr>
          <w:sz w:val="20"/>
          <w:szCs w:val="20"/>
        </w:rPr>
        <w:t>Har qanday tarif rejasining amal qilish muddati davomida Abonent tashabbusi bilan tarif rejasining o‘zgarishi Provayder tomonidan Abonent tomonidan o‘zgartirilgan tarif rejasi bo‘yicha o‘z majburiyatlarini to‘liq bajarishi hisoblanadi.</w:t>
      </w:r>
    </w:p>
    <w:p>
      <w:pPr>
        <w:pStyle w:val="Normal"/>
        <w:spacing w:lineRule="auto" w:line="276"/>
        <w:rPr>
          <w:sz w:val="20"/>
          <w:szCs w:val="20"/>
        </w:rPr>
      </w:pPr>
      <w:r>
        <w:rPr>
          <w:sz w:val="20"/>
          <w:szCs w:val="20"/>
        </w:rPr>
      </w:r>
    </w:p>
    <w:p>
      <w:pPr>
        <w:pStyle w:val="Normal"/>
        <w:spacing w:lineRule="auto" w:line="276"/>
        <w:jc w:val="both"/>
        <w:rPr/>
      </w:pPr>
      <w:r>
        <w:rPr>
          <w:sz w:val="20"/>
          <w:szCs w:val="20"/>
        </w:rPr>
        <w:t>Agar hisob-kitob davri tugagunga qadar abonent Provayderni tarif rejasidagi o‘zgarishlar to‘g‘risida xabardor qilmagan bo‘lsa, yangi Hisob-kitob davrida ham oldingi davr tarif rejasi, ham oldingi davr uchun buyurtma qilingan barcha qo‘shimcha xizmatlar saqlanib qoladi.</w:t>
      </w:r>
    </w:p>
    <w:p>
      <w:pPr>
        <w:pStyle w:val="Normal"/>
        <w:spacing w:lineRule="auto" w:line="276"/>
        <w:rPr>
          <w:rStyle w:val="StrongEmphasis"/>
          <w:sz w:val="20"/>
          <w:szCs w:val="20"/>
        </w:rPr>
      </w:pPr>
      <w:r>
        <w:rPr>
          <w:sz w:val="20"/>
          <w:szCs w:val="20"/>
        </w:rPr>
      </w:r>
    </w:p>
    <w:p>
      <w:pPr>
        <w:pStyle w:val="Normal"/>
        <w:spacing w:lineRule="auto" w:line="276"/>
        <w:rPr/>
      </w:pPr>
      <w:r>
        <w:rPr>
          <w:rStyle w:val="StrongEmphasis"/>
        </w:rPr>
        <w:t>2.2. Ixtiyoriy blokirovka</w:t>
      </w:r>
    </w:p>
    <w:p>
      <w:pPr>
        <w:pStyle w:val="Normal"/>
        <w:spacing w:lineRule="auto" w:line="276"/>
        <w:rPr>
          <w:b/>
          <w:b/>
          <w:bCs/>
          <w:sz w:val="20"/>
          <w:szCs w:val="20"/>
        </w:rPr>
      </w:pPr>
      <w:r>
        <w:rPr>
          <w:sz w:val="20"/>
          <w:szCs w:val="20"/>
        </w:rPr>
        <w:t xml:space="preserve">“Ixtiyoriy blokirovka” xizmatining narxi blokirovka qilingan kunlar sonidan (1 kundan 1 oygacha) qat’iy nazar, bir Hisob-kitob davri uchun 5000 so‘mni tashkil etadi.</w:t>
      </w:r>
    </w:p>
    <w:p>
      <w:pPr>
        <w:pStyle w:val="Normal"/>
        <w:spacing w:lineRule="auto" w:line="276"/>
        <w:rPr>
          <w:sz w:val="20"/>
          <w:szCs w:val="20"/>
        </w:rPr>
      </w:pPr>
      <w:r>
        <w:rPr>
          <w:rStyle w:val="StrongEmphasis"/>
          <w:b w:val="false"/>
          <w:sz w:val="20"/>
          <w:szCs w:val="20"/>
        </w:rPr>
        <w:t>Ixtiyoriy blokirovka</w:t>
      </w:r>
      <w:r>
        <w:rPr>
          <w:b/>
          <w:sz w:val="20"/>
          <w:szCs w:val="20"/>
        </w:rPr>
        <w:t xml:space="preserve"> </w:t>
      </w:r>
      <w:r>
        <w:rPr>
          <w:sz w:val="20"/>
          <w:szCs w:val="20"/>
        </w:rPr>
        <w:t xml:space="preserve">shaxsiy hisobdagi balans ijobiy bo'lsa, kirish (Portni band qilish) Abonentning iltimosiga binoan yoqilishi mumkin. E'tibor bering, bu holda tarif bo'yicha abonent to'lovi va shaxsiy hisobdan boshqa debetlar amalga oshirilmaydi. Agar abonent hisobida mablag‘ yetarli bo‘lsa va u “ixtiyoriy blokirovka” xizmatini yoqmagan bo‘lsa, xizmatlardan foydalanishdan qat’iy nazar tarif bo‘yicha abonent to‘lovi undiriladi.</w:t>
        <w:br/>
      </w:r>
    </w:p>
    <w:p>
      <w:pPr>
        <w:pStyle w:val="Normal"/>
        <w:spacing w:lineRule="auto" w:line="276"/>
        <w:jc w:val="both"/>
        <w:rPr>
          <w:sz w:val="20"/>
          <w:szCs w:val="20"/>
        </w:rPr>
      </w:pPr>
      <w:r>
        <w:rPr>
          <w:sz w:val="20"/>
          <w:szCs w:val="20"/>
        </w:rPr>
      </w:r>
    </w:p>
    <w:p>
      <w:pPr>
        <w:pStyle w:val="Normal"/>
        <w:spacing w:lineRule="auto" w:line="276"/>
        <w:rPr/>
      </w:pPr>
      <w:r>
        <w:rPr>
          <w:rStyle w:val="StrongEmphasis"/>
        </w:rPr>
        <w:t xml:space="preserve">2.3. Statik IP manzil</w:t>
      </w:r>
    </w:p>
    <w:p>
      <w:pPr>
        <w:pStyle w:val="Normal"/>
        <w:spacing w:lineRule="auto" w:line="276"/>
        <w:rPr/>
      </w:pPr>
      <w:r>
        <w:rPr>
          <w:sz w:val="20"/>
          <w:szCs w:val="20"/>
        </w:rPr>
        <w:t xml:space="preserve">“Statik IP manzil” xizmatining narxi oyiga 45 000 so‘mni tashkil qiladi.</w:t>
      </w:r>
    </w:p>
    <w:p>
      <w:pPr>
        <w:pStyle w:val="Normal"/>
        <w:spacing w:lineRule="auto" w:line="276"/>
        <w:jc w:val="both"/>
        <w:rPr>
          <w:sz w:val="20"/>
          <w:szCs w:val="20"/>
          <w:lang w:val="en-US"/>
        </w:rPr>
      </w:pPr>
      <w:r>
        <w:rPr>
          <w:sz w:val="20"/>
          <w:szCs w:val="20"/>
        </w:rPr>
        <w:t xml:space="preserve">Agar shaxsiy hisobdagi balans ijobiy bo'lsa, Abonentning iltimosiga binoan statik IP-manzilni yoqish mumkin. Minimal xizmat muddati - 30 kalendar kun. Xizmatni faollashtirish uchun kompaniya ofisida yozma ariza talab qilinadi.</w:t>
      </w:r>
    </w:p>
    <w:p>
      <w:pPr>
        <w:pStyle w:val="Normal"/>
        <w:spacing w:lineRule="auto" w:line="276"/>
        <w:rPr>
          <w:rStyle w:val="StrongEmphasis"/>
          <w:sz w:val="20"/>
          <w:szCs w:val="20"/>
          <w:lang w:val="en-US"/>
        </w:rPr>
      </w:pPr>
      <w:r>
        <w:rPr>
          <w:sz w:val="20"/>
          <w:szCs w:val="20"/>
          <w:lang w:val="en-US"/>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Segoe UI">
    <w:charset w:val="cc" w:characterSet="windows-1251"/>
    <w:family w:val="swiss"/>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5">
    <w:name w:val="Heading 5"/>
    <w:basedOn w:val="Normal"/>
    <w:next w:val="Normal"/>
    <w:qFormat/>
    <w:pPr>
      <w:keepNext w:val="true"/>
      <w:numPr>
        <w:ilvl w:val="4"/>
        <w:numId w:val="1"/>
      </w:numPr>
      <w:jc w:val="center"/>
      <w:outlineLvl w:val="4"/>
    </w:pPr>
    <w:rPr>
      <w:b/>
      <w:bCs/>
      <w:sz w:val="20"/>
      <w:szCs w:val="20"/>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lang w:val="en-US"/>
    </w:rPr>
  </w:style>
  <w:style w:type="character" w:styleId="Style12">
    <w:name w:val="Основной шрифт абзаца"/>
    <w:qFormat/>
    <w:rPr/>
  </w:style>
  <w:style w:type="character" w:styleId="Orange">
    <w:name w:val="orange"/>
    <w:basedOn w:val="Style12"/>
    <w:qFormat/>
    <w:rPr/>
  </w:style>
  <w:style w:type="character" w:styleId="StrongEmphasis">
    <w:name w:val="Strong Emphasis"/>
    <w:qFormat/>
    <w:rPr>
      <w:b/>
      <w:bCs/>
    </w:rPr>
  </w:style>
  <w:style w:type="character" w:styleId="Style13">
    <w:name w:val="Знак примечания"/>
    <w:qFormat/>
    <w:rPr>
      <w:sz w:val="16"/>
      <w:szCs w:val="16"/>
    </w:rPr>
  </w:style>
  <w:style w:type="character" w:styleId="Style14">
    <w:name w:val="Текст примечания Знак"/>
    <w:basedOn w:val="Style12"/>
    <w:qFormat/>
    <w:rPr/>
  </w:style>
  <w:style w:type="character" w:styleId="Style15">
    <w:name w:val="Тема примечания Знак"/>
    <w:qFormat/>
    <w:rPr>
      <w:b/>
      <w:bCs/>
    </w:rPr>
  </w:style>
  <w:style w:type="character" w:styleId="Style16">
    <w:name w:val="Текст выноски Знак"/>
    <w:qFormat/>
    <w:rPr>
      <w:rFonts w:ascii="Segoe UI" w:hAnsi="Segoe UI" w:cs="Segoe UI"/>
      <w:sz w:val="18"/>
      <w:szCs w:val="18"/>
    </w:rPr>
  </w:style>
  <w:style w:type="character" w:styleId="6">
    <w:name w:val="Заголовок 6 Знак"/>
    <w:qFormat/>
    <w:rPr>
      <w:rFonts w:ascii="Calibri" w:hAnsi="Calibri" w:eastAsia="Times New Roman" w:cs="Times New Roman"/>
      <w:b/>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7">
    <w:name w:val="Название объекта"/>
    <w:basedOn w:val="Normal"/>
    <w:next w:val="Normal"/>
    <w:qFormat/>
    <w:pPr/>
    <w:rPr>
      <w:b/>
      <w:bCs/>
      <w:sz w:val="16"/>
      <w:szCs w:val="16"/>
    </w:rPr>
  </w:style>
  <w:style w:type="paragraph" w:styleId="Style18">
    <w:name w:val="Текст примечания"/>
    <w:basedOn w:val="Normal"/>
    <w:qFormat/>
    <w:pPr/>
    <w:rPr>
      <w:sz w:val="20"/>
      <w:szCs w:val="20"/>
    </w:rPr>
  </w:style>
  <w:style w:type="paragraph" w:styleId="Style19">
    <w:name w:val="Тема примечания"/>
    <w:basedOn w:val="Style18"/>
    <w:next w:val="Style18"/>
    <w:qFormat/>
    <w:pPr/>
    <w:rPr>
      <w:b/>
      <w:bCs/>
      <w:lang w:val="en-US"/>
    </w:rPr>
  </w:style>
  <w:style w:type="paragraph" w:styleId="Style20">
    <w:name w:val="Текст выноски"/>
    <w:basedOn w:val="Normal"/>
    <w:qFormat/>
    <w:pPr/>
    <w:rPr>
      <w:rFonts w:ascii="Segoe UI" w:hAnsi="Segoe UI" w:cs="Segoe UI"/>
      <w:sz w:val="18"/>
      <w:szCs w:val="18"/>
      <w:lang w:val="en-US"/>
    </w:rPr>
  </w:style>
  <w:style w:type="paragraph" w:styleId="Style21">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Normal.dotm</Template>
  <TotalTime>19</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2022-08-19T07:20:00Z</dcterms:created>
  <dc:creator>den4ik</dc:creator>
  <dc:description/>
  <cp:keywords> </cp:keywords>
  <dc:language>en-US</dc:language>
  <cp:lastModifiedBy>Microsoft Office User</cp:lastModifiedBy>
  <dcterms:modified xsi:type="dcterms:W3CDTF">2024-09-29T21:49:00Z</dcterms:modified>
  <cp:revision>5</cp:revision>
  <dc:subject/>
  <dc:title>ПЕРЕЧЕНЬ УСЛУГ И ТАРИФЫ</dc:title>
</cp:coreProperties>
</file>